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84ab6c8c8409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10194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Antun Gustav Matoš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912.442,39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920.412,32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1.150.941,50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959.946,89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238.499,11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39.534,57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5.021,50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5.021,50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239.257,87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44.556,07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18,6</w:t>
            </w:r>
          </w:p>
        </w:tc>
      </w:tr>
    </w:tbl>
    <w:p>
      <w:pPr>
        <w:spacing w:before="0" w:after="0"/>
      </w:pPr>
    </w:p>
    <w:p>
      <w:r>
        <w:t xml:space="preserve">Broj RKP-a: 10194</w:t>
      </w:r>
    </w:p>
    <w:p>
      <w:r>
        <w:t xml:space="preserve">Matični broj: 03301109</w:t>
      </w:r>
    </w:p>
    <w:p>
      <w:r>
        <w:t xml:space="preserve">OIB: 84615502819</w:t>
      </w:r>
    </w:p>
    <w:p>
      <w:r>
        <w:t xml:space="preserve">Naziv obveznika: Osnovna škola „Antun Gustav Matoš“ Vinkovci</w:t>
      </w:r>
    </w:p>
    <w:p>
      <w:r>
        <w:t xml:space="preserve">Pošta i mjesto: 32100 Vinkovci</w:t>
      </w:r>
    </w:p>
    <w:p>
      <w:r>
        <w:t xml:space="preserve">Ulica i kućni broj: Ohridska 21</w:t>
      </w:r>
    </w:p>
    <w:p>
      <w:r>
        <w:t xml:space="preserve">Razina: 31</w:t>
      </w:r>
    </w:p>
    <w:p>
      <w:r>
        <w:t xml:space="preserve">Šifra djelatnosti: 8520-Osnovno obrazovanje</w:t>
      </w:r>
    </w:p>
    <w:p>
      <w:r>
        <w:t xml:space="preserve">Razdjel: 000-Nema razdjela</w:t>
      </w:r>
    </w:p>
    <w:p>
      <w:r>
        <w:t xml:space="preserve">Šifra grada/općine: 487–Grad Vinkovci</w:t>
      </w:r>
    </w:p>
    <w:p>
      <w:r>
        <w:t xml:space="preserve">Šifra županije: 16-Županija Vukovarsko – srijemska </w:t>
      </w:r>
    </w:p>
    <w:p>
      <w:r>
        <w:t xml:space="preserve">IBAN: HR6723400091100171180</w:t>
      </w:r>
    </w:p>
    <w:p>
      <w:r>
        <w:t xml:space="preserve">Razdoblje: 01. 01. 2026. – 31.03. 2026. godine</w:t>
      </w:r>
    </w:p>
    <w:p>
      <w:r>
        <w:t xml:space="preserve"> </w:t>
      </w:r>
    </w:p>
    <w:p>
      <w:r>
        <w:t xml:space="preserve">Bilješke uz financijske izvještaje prema čl.14. Pravilnika o financijskom izvještavanju u proračunskom računovodstvu sastavni su dio financijskih izvještaja proračuna i proračunskih korisnika.</w:t>
      </w:r>
    </w:p>
    <w:p>
      <w:r>
        <w:t xml:space="preserve"> </w:t>
      </w:r>
    </w:p>
    <w:p>
      <w:r>
        <w:t xml:space="preserve">Osnovna škola „Antun Gustav Matoš“ Vinkovci obveznik je predavanja financijskih izvještaja i to obrazaca:</w:t>
      </w:r>
    </w:p>
    <w:p>
      <w:r>
        <w:t xml:space="preserve">-Izvještaj o prihodima i rashodima, primicima i izdacima – obrazac PR-RAS</w:t>
      </w:r>
    </w:p>
    <w:p>
      <w:r>
        <w:t xml:space="preserve"> </w:t>
      </w:r>
    </w:p>
    <w:p>
      <w:r>
        <w:t xml:space="preserve">Financijski izvještaji sastavljeni su prema naputku tj. Okružnici o predaji financijskih izvještaja jedinica lokalne i područne (regionalne) samouprave, proračunskih i izvanproračunskih korisnika proračuna jedinica lokalne i područne (regionalne) samouprave za razdoblje od 1. siječnja do 31. ožujka 2026. godine upućen od strane Ministarstva financija.</w:t>
      </w:r>
    </w:p>
    <w:p>
      <w:r>
        <w:t xml:space="preserve"> </w:t>
      </w:r>
    </w:p>
    <w:p>
      <w:r>
        <w:t xml:space="preserve">Bilješke uz pojedine pozicije Izvještaja o prihodima i rashodima, primicima i izdacima – obrazac PR-RAS</w:t>
      </w:r>
    </w:p>
    <w:p>
      <w:r>
        <w:t xml:space="preserve"> </w:t>
      </w:r>
    </w:p>
    <w:p>
      <w:r>
        <w:t xml:space="preserve">Prihodi poslovanja </w:t>
      </w:r>
    </w:p>
    <w:p>
      <w:r>
        <w:t xml:space="preserve">Ukupni prihodi poslovanja u promatranom izvještajnom razdoblju iznose 920.412,32 EUR te bilježe blagi porast od 0,90 % u odnosu na prethodno razdoblje. Navedeni rast rezultat je stabilnog ostvarivanja planiranih prihoda, uz manja odstupanja unutar pojedinih kategorija prihoda. Prihodi su ostvareni sukladno planiranim aktivnostima i financijskom planu, što ukazuje na kontinuitet u poslovanju i uredno financijsko upravljanje proračunskog korisnika.</w:t>
      </w:r>
    </w:p>
    <w:p>
      <w:r>
        <w:t xml:space="preserve">Rashodi poslovanja</w:t>
      </w:r>
    </w:p>
    <w:p>
      <w:r>
        <w:t xml:space="preserve">Ukupni prihodi poslovanja u promatranom izvještajnom razdoblju iznose 959.946,89 EUR te bilježe pad od 17,6 % u odnosu na prethodno razdoblje. Smanjenje prihoda posljedica je nižeg ostvarenja pojedinih kategorija prihoda, osobito smanjenih prihoda iz nadležnog proračuna i/ili izostanka određenih prihoda koji su bili ostvareni u prethodnom razdoblju (npr. donacije ili namjenska sredstva). Unatoč navedenom smanjenju, prihodi su ostvareni u skladu s opsegom provedenih aktivnosti u izvještajnom razdoblju.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okviru ove stavke evidentirano je povećanje prihoda, koje se prvenstveno odnosi na osigurana sredstva za školska natjecanja.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733.480,50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763.119,24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104,0</w:t>
            </w:r>
          </w:p>
        </w:tc>
      </w:tr>
    </w:tbl>
    <w:p>
      <w:pPr>
        <w:spacing w:before="0" w:after="0"/>
      </w:pPr>
    </w:p>
    <w:p>
      <w:r>
        <w:t xml:space="preserve">U okviru ove stavke evidentirano je povećanje prihoda, koje se prvenstveno odnosi na osigurana sredstva za zaposlene. Povećanje je rezultat rasta bruto plaća, kao i isplate ostalih materijalnih prava zaposlenika, uključujući jubilarne nagrade, otpremnine te druge pripadajuće naknade.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213,7</w:t>
            </w:r>
          </w:p>
        </w:tc>
      </w:tr>
    </w:tbl>
    <w:p>
      <w:pPr>
        <w:spacing w:before="0" w:after="0"/>
      </w:pPr>
    </w:p>
    <w:p>
      <w:r>
        <w:t xml:space="preserve">Povećanje ukupnih prihoda poslovanja u promatranom razdoblju dijelom je rezultat većeg ostvarenja prihoda od tekućih donacija u odnosu na prethodno izvještajno razdoblje. Navedeno povećanje proizlazi iz intenzivnijeg financiranja određenih aktivnosti i projekata putem donacija, što je pozitivno utjecalo na ukupnu razinu prihoda i omogućilo stabilno odvijanje planiranih programa.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58.870,90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73.544,19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124,9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poslovanja bilježe povećanje u odnosu na prethodno izvještajno razdoblje. Navedeno povećanje rezultat je većih doznačenih sredstava iz nadležnog proračuna za pokriće redovnih rashoda poslovanja, sukladno financijskom planu i potrebama provedbe aktivnosti proračunskog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9.808,04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11.101,06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113,2</w:t>
            </w:r>
          </w:p>
        </w:tc>
      </w:tr>
    </w:tbl>
    <w:p>
      <w:pPr>
        <w:spacing w:before="0" w:after="0"/>
      </w:pPr>
    </w:p>
    <w:p>
      <w:r>
        <w:t xml:space="preserve">Plaće za prekovremeni rad rezultat je povećanog opsega poslova i potrebe za osiguravanjem kontinuiteta odgojno-obrazovnog procesa.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6.437,20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17.839,70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277,1</w:t>
            </w:r>
          </w:p>
        </w:tc>
      </w:tr>
    </w:tbl>
    <w:p>
      <w:pPr>
        <w:spacing w:before="0" w:after="0"/>
      </w:pPr>
    </w:p>
    <w:p>
      <w:r>
        <w:t xml:space="preserve">Ostali rashodi za zaposlene bilježe povećanje u odnosu na prethodno izvještajno razdoblje. Navedeno povećanje odnosi se na veći obujam isplata materijalnih prava zaposlenika, uključujući jubilarne nagrade, uskrsnice, regres za godišnji odmor te pomoći zaposlenicima u slučajevima bolovanja i smrti člana uže obitelji.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2.154,16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108,6</w:t>
            </w:r>
          </w:p>
        </w:tc>
      </w:tr>
    </w:tbl>
    <w:p>
      <w:pPr>
        <w:spacing w:before="0" w:after="0"/>
      </w:pPr>
    </w:p>
    <w:p>
      <w:r>
        <w:t xml:space="preserve">Službena putovanja bilježe povećanje u odnosu na prethodno izvještajno razdoblje. Navedeno povećanje rezultat je većeg broja službenih putovanja radi sudjelovanja na stručnim skupovima, edukacijama i drugim poslovnim aktivnostima nužnim za redovno obavljanje djelatnosti proračunskog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401,1</w:t>
            </w:r>
          </w:p>
        </w:tc>
      </w:tr>
    </w:tbl>
    <w:p>
      <w:pPr>
        <w:spacing w:before="0" w:after="0"/>
      </w:pPr>
    </w:p>
    <w:p>
      <w:r>
        <w:t xml:space="preserve">Stručno usavršavanje zaposlenika bilježe povećanje u odnosu na prethodno izvještajno razdoblje. Povećanje je rezultat većeg ulaganja u edukacije, seminare i stručne radionice s ciljem unapređenja znanja i kompetencija zaposlenika te osiguravanja kvalitetnijeg obavljanja poslova iz djelokruga proračunskog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3.105,87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107,5</w:t>
            </w:r>
          </w:p>
        </w:tc>
      </w:tr>
    </w:tbl>
    <w:p>
      <w:pPr>
        <w:spacing w:before="0" w:after="0"/>
      </w:pPr>
    </w:p>
    <w:p>
      <w:r>
        <w:t xml:space="preserve">Rashodi na stavci 3222 – Materijal i sirovine bilježe povećanje u odnosu na prethodno izvještajno razdoblje. Povećanje je rezultat većih potreba za nabavom materijala i sirovina za redovno obavljanje djelatnosti, kao i mogućeg porasta cijena na tržištu.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1.998,01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325,1</w:t>
            </w:r>
          </w:p>
        </w:tc>
      </w:tr>
    </w:tbl>
    <w:p>
      <w:pPr>
        <w:spacing w:before="0" w:after="0"/>
      </w:pPr>
    </w:p>
    <w:p>
      <w:r>
        <w:t xml:space="preserve">Rashodi na stavci 3224 – Materijal i dijelovi za tekuće i investicijsko održavanje bilježe povećanje u odnosu na prethodno izvještajno razdoblje. Povećanje je rezultat pojačanih aktivnosti održavanja imovine, kao i veće potrebe za nabavom materijala i rezervnih dijelova radi osiguranja nesmetanog funkcioniranja opreme i objekata.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416,3</w:t>
            </w:r>
          </w:p>
        </w:tc>
      </w:tr>
    </w:tbl>
    <w:p>
      <w:pPr>
        <w:spacing w:before="0" w:after="0"/>
      </w:pPr>
    </w:p>
    <w:p>
      <w:r>
        <w:t xml:space="preserve">Rashodi na stavci 3225 – Sitni inventar i autogume bilježe povećanje u odnosu na prethodno izvještajno razdoblje. Povećanje je rezultat veće nabave sitnog inventara i autoguma potrebnih za redovno i nesmetano obavljanje djelatnosti proračunskog korisnika, kao i potrebe za zamjenom dotrajalih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401,5</w:t>
            </w:r>
          </w:p>
        </w:tc>
      </w:tr>
    </w:tbl>
    <w:p>
      <w:pPr>
        <w:spacing w:before="0" w:after="0"/>
      </w:pPr>
    </w:p>
    <w:p>
      <w:r>
        <w:t xml:space="preserve">Rashodi na stavci 3227 – Službena, radna i zaštitna odjeća i obuća bilježe povećanje u odnosu na prethodno izvještajno razdoblje. Povećanje je rezultat nabave potrebne službene i zaštitne opreme za zaposlenike radi usklađivanja s propisima o zaštiti na radu te osiguravanja sigurnih uvjeta 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86.795,96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101.171,74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116,6</w:t>
            </w:r>
          </w:p>
        </w:tc>
      </w:tr>
    </w:tbl>
    <w:p>
      <w:pPr>
        <w:spacing w:before="0" w:after="0"/>
      </w:pPr>
    </w:p>
    <w:p>
      <w:r>
        <w:t xml:space="preserve">Rashodi na stavci 3231 – Usluge telefona, interneta, pošte i prijevoza bilježe povećanje u odnosu na prethodno izvještajno razdoblje. Povećanje je ponajprije rezultat većih troškova prijevoza korisnika posebnih odjela, dok je u manjoj mjeri utjecao i rast ostalih komunikacijskih usluga. Povećanje je povezano s organizacijom i osiguravanjem redovitog prijevoza u skladu s potrebama i specifičnostima rada posebnih odjela proračunskog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147,1</w:t>
            </w:r>
          </w:p>
        </w:tc>
      </w:tr>
    </w:tbl>
    <w:p>
      <w:pPr>
        <w:spacing w:before="0" w:after="0"/>
      </w:pPr>
    </w:p>
    <w:p>
      <w:r>
        <w:t xml:space="preserve">Rashodi na stavci 3232 – Usluge tekućeg i investicijskog održavanja bilježe povećanje u odnosu na prethodno izvještajno razdoblje. Povećanje je rezultat pojačanih aktivnosti održavanja imovine, opreme i objekata, s ciljem osiguravanja njihove funkcionalnosti i nesmetanog obavljanja redovne djelatnosti proračunskog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2.929,25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3.317,10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113,2</w:t>
            </w:r>
          </w:p>
        </w:tc>
      </w:tr>
    </w:tbl>
    <w:p>
      <w:pPr>
        <w:spacing w:before="0" w:after="0"/>
      </w:pPr>
    </w:p>
    <w:p>
      <w:r>
        <w:t xml:space="preserve">Rashodi na stavci– Premije osiguranja bilježe povećanje u odnosu na prethodno izvještajno razdoblje. Povećanje je rezultat viših premija osiguranja imovine i/ili zaposlenika, kao i usklađivanja postojećih polica osiguranja s aktualnim uvjetima i obuhvatom osiguranja.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2.796,24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3.141,03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112,3</w:t>
            </w:r>
          </w:p>
        </w:tc>
      </w:tr>
    </w:tbl>
    <w:p>
      <w:pPr>
        <w:spacing w:before="0" w:after="0"/>
      </w:pPr>
    </w:p>
    <w:p>
      <w:r>
        <w:t xml:space="preserve">Rashodi na stavci 3293 – Reprezentacija bilježe povećanje u odnosu na prethodno izvještajno razdoblje. Povećanje je rezultat većih troškova za hranu i piće za potrebe organizacije i provedbe natjecanja te popratnih službenih aktivnosti u okviru redovnog djelovanja proračunskog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144,3</w:t>
            </w:r>
          </w:p>
        </w:tc>
      </w:tr>
    </w:tbl>
    <w:p>
      <w:pPr>
        <w:spacing w:before="0" w:after="0"/>
      </w:pPr>
    </w:p>
    <w:p>
      <w:r>
        <w:t xml:space="preserve">Rashodi na stavci 3295 – Pristojbe i naknade bilježe povećanje u odnosu na prethodno izvještajno razdoblje. Povećanje je rezultat većih obveza po osnovi propisanih naknada vezanih uz zapošljavanje osoba s invaliditetom, odnosno obračuna i uplate propisane naknade sukladno važećim zakonskim odredbama.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964,09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1.971,97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204,5</w:t>
            </w:r>
          </w:p>
        </w:tc>
      </w:tr>
    </w:tbl>
    <w:p>
      <w:pPr>
        <w:spacing w:before="0" w:after="0"/>
      </w:pPr>
    </w:p>
    <w:p>
      <w:r>
        <w:t xml:space="preserve">Rashodi na stavci 3299 – Ostali nespomenuti rashodi poslovanja bilježe povećanje u odnosu na prethodno izvještajno razdoblje. Povećanje je rezultat većih troškova koji se odnose na razne nespomenute izdatke vezane uz redovno poslovanje proračunskog korisnika, a koji nisu razvrstani na ostale specifične stavke.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32.136,79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35.703,85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111,1</w:t>
            </w:r>
          </w:p>
        </w:tc>
      </w:tr>
    </w:tbl>
    <w:p>
      <w:pPr>
        <w:spacing w:before="0" w:after="0"/>
      </w:pPr>
    </w:p>
    <w:p>
      <w:r>
        <w:t xml:space="preserve">Povećanje rashoda odnosi se na veći broj učenika koji ostvaruju pravo na školsku prehranu i druge oblike pomoći te na porast cijena prehrambenih proizvoda i materijala. Sredstva su planirana radi osiguravanja jednakih uvjeta obrazovanja i zadržavanja standarda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4.582,50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na stavci 4221 – Uredska oprema i namještaj bilježe povećanje u odnosu na prethodno izvještajno razdoblje. Povećanje je rezultat veće nabave uredske opreme i namještaja radi opremanja i unapređenja radnih prostora te zamjene dotrajale opreme u cilju osiguravanja kvalitetnijih uvjeta rada proračunskog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- preneseni (šifre 92221+92222-92211-92212)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MP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246.539,80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U izvještajnom razdoblju ostvaren je manjak prihoda poslovanja u iznosu od 246.539,80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241.307,21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291.095,87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120,6</w:t>
            </w:r>
          </w:p>
        </w:tc>
      </w:tr>
    </w:tbl>
    <w:p>
      <w:pPr>
        <w:spacing w:before="0" w:after="0"/>
      </w:pPr>
    </w:p>
    <w:p>
      <w:r>
        <w:t xml:space="preserve">U izvještajnom razdoblju ostvaren je manjak prihoda poslovanja u iznosu od 44.556,07 EUR.</w:t>
      </w:r>
    </w:p>
    <w:p>
      <w:r>
        <w:t xml:space="preserve">Ukupni prihodi i primici ostvareni su u iznosu od 920.412,32 EUR, dok su ukupni rashodi i izdaci iznosili 964.968,39 EUR, što je rezultiralo navedenim manjkom.</w:t>
      </w:r>
    </w:p>
    <w:p>
      <w:r>
        <w:t xml:space="preserve">Preneseni manjak prihoda i primitaka iz prethodnih izvještajnih razdoblja iznosi 246.539,80 EUR, te ukupni manjak prihoda i primitaka raspoloživ za prijenos u sljedeće razdoblje iznosi 291.095,87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odljevi s novčanih računa i blagajni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287.933,46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28.981,57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10,1</w:t>
            </w:r>
          </w:p>
        </w:tc>
      </w:tr>
    </w:tbl>
    <w:p>
      <w:pPr>
        <w:spacing w:before="0" w:after="0"/>
      </w:pPr>
    </w:p>
    <w:p>
      <w:r>
        <w:t xml:space="preserve">Smanjenje novčanih sredstava odnosi se na prelazak u sustav riznice, pri čemu se sredstva proračunskog korisnika evidentiraju i upravljaju putem jedinstvenog računa riznice. Slijedom navedenog, došlo je do smanjenja stanja novčanih sredstava na vlastitim računima, uz istodobno evidentiranje kroz sustav rizničnog poslovanja sukladno važećim propisima.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9daa248cc24753" /></Relationships>
</file>